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79E0" w14:textId="77777777" w:rsidR="00E6062D" w:rsidRDefault="00E6062D" w:rsidP="00E6062D">
      <w:pPr>
        <w:pStyle w:val="Style1"/>
        <w:mirrorIndents/>
      </w:pPr>
      <w:bookmarkStart w:id="0" w:name="_Toc498090862"/>
      <w:bookmarkStart w:id="1" w:name="_Toc499736479"/>
      <w:bookmarkStart w:id="2" w:name="_GoBack"/>
      <w:bookmarkEnd w:id="2"/>
      <w:r>
        <w:t>Field Development Plan Addendum (FDPA) Content</w:t>
      </w:r>
      <w:bookmarkEnd w:id="0"/>
      <w:bookmarkEnd w:id="1"/>
    </w:p>
    <w:p w14:paraId="4EBE77BE" w14:textId="77777777" w:rsidR="00E6062D" w:rsidRDefault="00E6062D" w:rsidP="00E6062D">
      <w:pPr>
        <w:spacing w:line="360" w:lineRule="auto"/>
        <w:mirrorIndents/>
        <w:jc w:val="both"/>
      </w:pPr>
      <w:r>
        <w:t>Suggested headings and content of the report are as follows:</w:t>
      </w:r>
    </w:p>
    <w:p w14:paraId="7C04871E" w14:textId="77777777" w:rsidR="00E6062D" w:rsidRPr="00676282" w:rsidRDefault="00E6062D" w:rsidP="00E6062D">
      <w:pPr>
        <w:pStyle w:val="ListParagraph"/>
        <w:numPr>
          <w:ilvl w:val="0"/>
          <w:numId w:val="2"/>
        </w:numPr>
        <w:spacing w:line="360" w:lineRule="auto"/>
        <w:ind w:left="0"/>
        <w:contextualSpacing w:val="0"/>
        <w:mirrorIndents/>
        <w:jc w:val="both"/>
        <w:rPr>
          <w:b/>
        </w:rPr>
      </w:pPr>
      <w:r w:rsidRPr="00676282">
        <w:rPr>
          <w:b/>
        </w:rPr>
        <w:t>Introduction</w:t>
      </w:r>
    </w:p>
    <w:p w14:paraId="54C07498" w14:textId="77777777" w:rsidR="00E6062D" w:rsidRDefault="00E6062D" w:rsidP="00E6062D">
      <w:pPr>
        <w:spacing w:line="360" w:lineRule="auto"/>
        <w:mirrorIndents/>
        <w:jc w:val="both"/>
      </w:pPr>
      <w:r>
        <w:t>A brief review of the field operations and export route with any divergence from the Development Plan should be summarised. Any changes in licence equity or of the operator should be given. A map showing the field extent and licence boundaries should be provided.</w:t>
      </w:r>
    </w:p>
    <w:p w14:paraId="7645DE3B" w14:textId="77777777" w:rsidR="00E6062D" w:rsidRPr="00676282" w:rsidRDefault="00E6062D" w:rsidP="00E6062D">
      <w:pPr>
        <w:pStyle w:val="ListParagraph"/>
        <w:numPr>
          <w:ilvl w:val="0"/>
          <w:numId w:val="2"/>
        </w:numPr>
        <w:spacing w:line="360" w:lineRule="auto"/>
        <w:ind w:left="0"/>
        <w:contextualSpacing w:val="0"/>
        <w:mirrorIndents/>
        <w:jc w:val="both"/>
        <w:rPr>
          <w:b/>
        </w:rPr>
      </w:pPr>
      <w:r w:rsidRPr="00676282">
        <w:rPr>
          <w:b/>
        </w:rPr>
        <w:t>Field Description</w:t>
      </w:r>
    </w:p>
    <w:p w14:paraId="716B76AA" w14:textId="77777777" w:rsidR="00E6062D" w:rsidRPr="00676282" w:rsidRDefault="00E6062D" w:rsidP="00E6062D">
      <w:pPr>
        <w:pStyle w:val="ListParagraph"/>
        <w:numPr>
          <w:ilvl w:val="1"/>
          <w:numId w:val="2"/>
        </w:numPr>
        <w:spacing w:line="360" w:lineRule="auto"/>
        <w:ind w:left="0"/>
        <w:contextualSpacing w:val="0"/>
        <w:mirrorIndents/>
        <w:jc w:val="both"/>
        <w:rPr>
          <w:b/>
        </w:rPr>
      </w:pPr>
      <w:r w:rsidRPr="00676282">
        <w:rPr>
          <w:b/>
        </w:rPr>
        <w:t>Hydrocarbons Initially in Place and Recoverable Reserves</w:t>
      </w:r>
    </w:p>
    <w:p w14:paraId="42B45410" w14:textId="77777777" w:rsidR="00E6062D" w:rsidRDefault="00E6062D" w:rsidP="00E6062D">
      <w:pPr>
        <w:spacing w:line="360" w:lineRule="auto"/>
        <w:mirrorIndents/>
        <w:jc w:val="both"/>
      </w:pPr>
      <w:r>
        <w:t>Changes in estimates of hydrocarbons initially in place and reserves should be identified by reference to the Development Plan base case and to the case in any previous FDPA.</w:t>
      </w:r>
    </w:p>
    <w:p w14:paraId="1B09D0D7" w14:textId="77777777" w:rsidR="00E6062D" w:rsidRDefault="00E6062D" w:rsidP="00E6062D">
      <w:pPr>
        <w:pStyle w:val="ListParagraph"/>
        <w:numPr>
          <w:ilvl w:val="1"/>
          <w:numId w:val="2"/>
        </w:numPr>
        <w:spacing w:line="360" w:lineRule="auto"/>
        <w:ind w:left="0"/>
        <w:contextualSpacing w:val="0"/>
        <w:mirrorIndents/>
        <w:jc w:val="both"/>
      </w:pPr>
      <w:r w:rsidRPr="00676282">
        <w:rPr>
          <w:b/>
        </w:rPr>
        <w:t>Well Status and Operations</w:t>
      </w:r>
    </w:p>
    <w:p w14:paraId="629D9894" w14:textId="77777777" w:rsidR="00E6062D" w:rsidRDefault="00E6062D" w:rsidP="00E6062D">
      <w:pPr>
        <w:spacing w:line="360" w:lineRule="auto"/>
        <w:mirrorIndents/>
        <w:jc w:val="both"/>
      </w:pPr>
      <w:r>
        <w:t>A table summarising changes in well status (e.g. producer/injector, suspended/abandoned, perforated intervals, reservoir identifier, lift provision) should be included and should note any well operations carried out during the reporting period (e.g. drilling, workovers, data gathering, perforating stimulation). Any significant gap in field production should be explained. A chart of individual well historic production rates (and water cut percentage, if relevant) should be provided. A cumulative production chart, by well, is also requested.</w:t>
      </w:r>
    </w:p>
    <w:p w14:paraId="52F342C0" w14:textId="77777777" w:rsidR="00E6062D" w:rsidRDefault="00E6062D" w:rsidP="00E6062D">
      <w:pPr>
        <w:pStyle w:val="ListParagraph"/>
        <w:numPr>
          <w:ilvl w:val="1"/>
          <w:numId w:val="2"/>
        </w:numPr>
        <w:spacing w:line="360" w:lineRule="auto"/>
        <w:ind w:left="0"/>
        <w:contextualSpacing w:val="0"/>
        <w:mirrorIndents/>
        <w:jc w:val="both"/>
      </w:pPr>
      <w:r w:rsidRPr="00676282">
        <w:rPr>
          <w:b/>
        </w:rPr>
        <w:t>Geology and Geophysics</w:t>
      </w:r>
    </w:p>
    <w:p w14:paraId="5954A98C" w14:textId="77777777" w:rsidR="00E6062D" w:rsidRDefault="00E6062D" w:rsidP="00E6062D">
      <w:pPr>
        <w:spacing w:line="360" w:lineRule="auto"/>
        <w:mirrorIndents/>
        <w:jc w:val="both"/>
      </w:pPr>
      <w:r>
        <w:t xml:space="preserve">A brief summary of the reservoir geology and hydrocarbon type and sample CPI log should be included. A detailed depth structure map for key productive horizons with annotations of the maximum extent (e.g. GDT or OWC) and well paths from the surface to top horizon is required along with an interpreted seismic line across the flied and, if available, a schematic cross-section. Where drilling, seismic re-processing or </w:t>
      </w:r>
      <w:r>
        <w:lastRenderedPageBreak/>
        <w:t>other work has had significant impact on the reservoir model, a summary of the results should be provided.</w:t>
      </w:r>
    </w:p>
    <w:p w14:paraId="1FF94BFC" w14:textId="77777777" w:rsidR="00E6062D" w:rsidRPr="00676282" w:rsidRDefault="00E6062D" w:rsidP="00E6062D">
      <w:pPr>
        <w:pStyle w:val="ListParagraph"/>
        <w:numPr>
          <w:ilvl w:val="1"/>
          <w:numId w:val="2"/>
        </w:numPr>
        <w:spacing w:line="360" w:lineRule="auto"/>
        <w:ind w:left="0"/>
        <w:contextualSpacing w:val="0"/>
        <w:mirrorIndents/>
        <w:jc w:val="both"/>
        <w:rPr>
          <w:b/>
        </w:rPr>
      </w:pPr>
      <w:r w:rsidRPr="00676282">
        <w:rPr>
          <w:b/>
        </w:rPr>
        <w:t>Field Facilities and Infrastructure</w:t>
      </w:r>
    </w:p>
    <w:p w14:paraId="39E4BA25" w14:textId="77777777" w:rsidR="00E6062D" w:rsidRDefault="00E6062D" w:rsidP="00E6062D">
      <w:pPr>
        <w:spacing w:line="360" w:lineRule="auto"/>
        <w:mirrorIndents/>
        <w:jc w:val="both"/>
      </w:pPr>
      <w:r>
        <w:t xml:space="preserve">An Ordnance Survey plat which shows the location of all field facilities is required. A brief report on the performance of the field production facilities, highlighting features that have impeded operations </w:t>
      </w:r>
      <w:proofErr w:type="gramStart"/>
      <w:r>
        <w:t>and also</w:t>
      </w:r>
      <w:proofErr w:type="gramEnd"/>
      <w:r>
        <w:t xml:space="preserve"> valuable improvements, should be added. Any changes to export routes should also be described.</w:t>
      </w:r>
    </w:p>
    <w:p w14:paraId="16C5EEBE" w14:textId="77777777" w:rsidR="00E6062D" w:rsidRPr="00676282" w:rsidRDefault="00E6062D" w:rsidP="00E6062D">
      <w:pPr>
        <w:pStyle w:val="ListParagraph"/>
        <w:numPr>
          <w:ilvl w:val="0"/>
          <w:numId w:val="2"/>
        </w:numPr>
        <w:spacing w:line="360" w:lineRule="auto"/>
        <w:ind w:left="0"/>
        <w:contextualSpacing w:val="0"/>
        <w:mirrorIndents/>
        <w:jc w:val="both"/>
        <w:rPr>
          <w:b/>
        </w:rPr>
      </w:pPr>
      <w:r w:rsidRPr="00676282">
        <w:rPr>
          <w:b/>
        </w:rPr>
        <w:t>Development and Management Plan</w:t>
      </w:r>
    </w:p>
    <w:p w14:paraId="4264A592" w14:textId="77777777" w:rsidR="00E6062D" w:rsidRPr="00676282" w:rsidRDefault="00E6062D" w:rsidP="00E6062D">
      <w:pPr>
        <w:pStyle w:val="ListParagraph"/>
        <w:numPr>
          <w:ilvl w:val="1"/>
          <w:numId w:val="2"/>
        </w:numPr>
        <w:spacing w:line="360" w:lineRule="auto"/>
        <w:ind w:left="0"/>
        <w:contextualSpacing w:val="0"/>
        <w:mirrorIndents/>
        <w:jc w:val="both"/>
        <w:rPr>
          <w:b/>
        </w:rPr>
      </w:pPr>
      <w:r w:rsidRPr="00676282">
        <w:rPr>
          <w:b/>
        </w:rPr>
        <w:t>Field Management</w:t>
      </w:r>
    </w:p>
    <w:p w14:paraId="2A30B4DF" w14:textId="77777777" w:rsidR="00E6062D" w:rsidRDefault="00E6062D" w:rsidP="00E6062D">
      <w:pPr>
        <w:spacing w:line="360" w:lineRule="auto"/>
        <w:mirrorIndents/>
        <w:jc w:val="both"/>
      </w:pPr>
      <w:r>
        <w:t xml:space="preserve">Any changes in development strategy should be reviews. Important reservoir monitoring results, reservoir monitoring limitations and specific production difficulties should be summarised. Where appropriate, plots of reservoir pressure and </w:t>
      </w:r>
      <w:proofErr w:type="spellStart"/>
      <w:r>
        <w:t>voidage</w:t>
      </w:r>
      <w:proofErr w:type="spellEnd"/>
      <w:r>
        <w:t xml:space="preserve"> replacement should be provided. Plans for reservoir monitoring in the coming year should be briefly discussed.</w:t>
      </w:r>
    </w:p>
    <w:p w14:paraId="299798E5" w14:textId="77777777" w:rsidR="00E6062D" w:rsidRDefault="00E6062D" w:rsidP="00E6062D">
      <w:pPr>
        <w:pStyle w:val="ListParagraph"/>
        <w:numPr>
          <w:ilvl w:val="1"/>
          <w:numId w:val="2"/>
        </w:numPr>
        <w:spacing w:line="360" w:lineRule="auto"/>
        <w:ind w:left="0"/>
        <w:contextualSpacing w:val="0"/>
        <w:mirrorIndents/>
        <w:jc w:val="both"/>
      </w:pPr>
      <w:r w:rsidRPr="00676282">
        <w:rPr>
          <w:b/>
        </w:rPr>
        <w:t>Studies</w:t>
      </w:r>
    </w:p>
    <w:p w14:paraId="37D1406A" w14:textId="77777777" w:rsidR="00E6062D" w:rsidRDefault="00E6062D" w:rsidP="00E6062D">
      <w:pPr>
        <w:spacing w:line="360" w:lineRule="auto"/>
        <w:mirrorIndents/>
        <w:jc w:val="both"/>
      </w:pPr>
      <w:r>
        <w:t>The results and relevant of any geoscience, reservoir or facilities/pipeline engineering studies completed during the reporting period should be summarised. Plans and timescale for ongoing and future studies should be briefly discussed.</w:t>
      </w:r>
    </w:p>
    <w:p w14:paraId="71A0F753" w14:textId="77777777" w:rsidR="00E6062D" w:rsidRPr="00676282" w:rsidRDefault="00E6062D" w:rsidP="00E6062D">
      <w:pPr>
        <w:pStyle w:val="ListParagraph"/>
        <w:numPr>
          <w:ilvl w:val="1"/>
          <w:numId w:val="2"/>
        </w:numPr>
        <w:spacing w:line="360" w:lineRule="auto"/>
        <w:ind w:left="0"/>
        <w:contextualSpacing w:val="0"/>
        <w:mirrorIndents/>
        <w:jc w:val="both"/>
        <w:rPr>
          <w:b/>
        </w:rPr>
      </w:pPr>
      <w:r w:rsidRPr="00676282">
        <w:rPr>
          <w:b/>
        </w:rPr>
        <w:t>Improved Oil Recovery (IOR)</w:t>
      </w:r>
    </w:p>
    <w:p w14:paraId="473D1CAB" w14:textId="77777777" w:rsidR="00E6062D" w:rsidRDefault="00E6062D" w:rsidP="00E6062D">
      <w:pPr>
        <w:spacing w:line="360" w:lineRule="auto"/>
        <w:mirrorIndents/>
        <w:jc w:val="both"/>
      </w:pPr>
      <w:r>
        <w:t>Where appropriate, the potential for IOR should be reviewed and the results of any studies or operations discussed.</w:t>
      </w:r>
    </w:p>
    <w:p w14:paraId="0E81AD28" w14:textId="77777777" w:rsidR="00E6062D" w:rsidRPr="00676282" w:rsidRDefault="00E6062D" w:rsidP="00E6062D">
      <w:pPr>
        <w:pStyle w:val="ListParagraph"/>
        <w:numPr>
          <w:ilvl w:val="1"/>
          <w:numId w:val="2"/>
        </w:numPr>
        <w:spacing w:line="360" w:lineRule="auto"/>
        <w:ind w:left="0"/>
        <w:contextualSpacing w:val="0"/>
        <w:mirrorIndents/>
        <w:jc w:val="both"/>
        <w:rPr>
          <w:b/>
        </w:rPr>
      </w:pPr>
      <w:r w:rsidRPr="00676282">
        <w:rPr>
          <w:b/>
        </w:rPr>
        <w:t>Forecasting</w:t>
      </w:r>
    </w:p>
    <w:p w14:paraId="1FDC93A0" w14:textId="77777777" w:rsidR="00E6062D" w:rsidRDefault="00E6062D" w:rsidP="00E6062D">
      <w:pPr>
        <w:spacing w:line="360" w:lineRule="auto"/>
        <w:mirrorIndents/>
        <w:jc w:val="both"/>
      </w:pPr>
      <w:r>
        <w:t>A table of the forecasted production, vent and flare volumes and injection profiles should be provided, together with the current estimate of the Cessation-of-Production date. A summary of the initial estimate STOIIP or GIIP, cumulative production and recovery factor (if relevant), remaining reserves and field EUR should be provided.</w:t>
      </w:r>
    </w:p>
    <w:p w14:paraId="6C182E86" w14:textId="77777777" w:rsidR="00E6062D" w:rsidRPr="00676282" w:rsidRDefault="00E6062D" w:rsidP="00E6062D">
      <w:pPr>
        <w:pStyle w:val="ListParagraph"/>
        <w:numPr>
          <w:ilvl w:val="1"/>
          <w:numId w:val="2"/>
        </w:numPr>
        <w:spacing w:line="360" w:lineRule="auto"/>
        <w:ind w:left="0"/>
        <w:contextualSpacing w:val="0"/>
        <w:mirrorIndents/>
        <w:jc w:val="both"/>
        <w:rPr>
          <w:b/>
        </w:rPr>
      </w:pPr>
      <w:r w:rsidRPr="00676282">
        <w:rPr>
          <w:b/>
        </w:rPr>
        <w:t>Proposed Changes to the Development Plan</w:t>
      </w:r>
    </w:p>
    <w:p w14:paraId="76BDBCDE" w14:textId="77777777" w:rsidR="00E6062D" w:rsidRDefault="00E6062D" w:rsidP="00E6062D">
      <w:pPr>
        <w:spacing w:line="360" w:lineRule="auto"/>
        <w:mirrorIndents/>
        <w:jc w:val="both"/>
      </w:pPr>
      <w:r>
        <w:lastRenderedPageBreak/>
        <w:t>Proposed changes to commitments or to conditions in the development consent should be set out clearly, as should plans to extend the development beyond the Development Area. The need to include other deviations should be discussed with the OGA. Where appropriate, a summary of exploration targets or longer-term development opportunities – within or around the field – should be provided.</w:t>
      </w:r>
    </w:p>
    <w:p w14:paraId="680389F5" w14:textId="77777777" w:rsidR="00E6062D" w:rsidRPr="00676282" w:rsidRDefault="00E6062D" w:rsidP="00E6062D">
      <w:pPr>
        <w:pStyle w:val="ListParagraph"/>
        <w:numPr>
          <w:ilvl w:val="1"/>
          <w:numId w:val="2"/>
        </w:numPr>
        <w:spacing w:line="360" w:lineRule="auto"/>
        <w:ind w:left="0"/>
        <w:contextualSpacing w:val="0"/>
        <w:mirrorIndents/>
        <w:jc w:val="both"/>
        <w:rPr>
          <w:b/>
        </w:rPr>
      </w:pPr>
      <w:r w:rsidRPr="00676282">
        <w:rPr>
          <w:b/>
        </w:rPr>
        <w:t>Field Operating Costs</w:t>
      </w:r>
    </w:p>
    <w:p w14:paraId="6AD058D6" w14:textId="77777777" w:rsidR="00E6062D" w:rsidRDefault="00E6062D" w:rsidP="00E6062D">
      <w:pPr>
        <w:spacing w:line="360" w:lineRule="auto"/>
        <w:mirrorIndents/>
        <w:jc w:val="both"/>
      </w:pPr>
      <w:r>
        <w:t xml:space="preserve">CAPEX and OPEX information </w:t>
      </w:r>
      <w:proofErr w:type="gramStart"/>
      <w:r>
        <w:t>is</w:t>
      </w:r>
      <w:proofErr w:type="gramEnd"/>
      <w:r>
        <w:t xml:space="preserve"> not required at this time.</w:t>
      </w:r>
    </w:p>
    <w:p w14:paraId="55ED0BF7" w14:textId="77777777" w:rsidR="00E6062D" w:rsidRPr="00676282" w:rsidRDefault="00E6062D" w:rsidP="00E6062D">
      <w:pPr>
        <w:pStyle w:val="ListParagraph"/>
        <w:numPr>
          <w:ilvl w:val="1"/>
          <w:numId w:val="2"/>
        </w:numPr>
        <w:spacing w:line="360" w:lineRule="auto"/>
        <w:ind w:left="0"/>
        <w:contextualSpacing w:val="0"/>
        <w:mirrorIndents/>
        <w:jc w:val="both"/>
        <w:rPr>
          <w:b/>
        </w:rPr>
      </w:pPr>
      <w:r w:rsidRPr="00676282">
        <w:rPr>
          <w:b/>
        </w:rPr>
        <w:t>Other Regulatory Issues</w:t>
      </w:r>
    </w:p>
    <w:p w14:paraId="01F0F740" w14:textId="77777777" w:rsidR="00E6062D" w:rsidRPr="00023B88" w:rsidRDefault="00E6062D" w:rsidP="00E6062D">
      <w:pPr>
        <w:spacing w:line="360" w:lineRule="auto"/>
        <w:mirrorIndents/>
        <w:jc w:val="both"/>
      </w:pPr>
      <w:r>
        <w:t>A summary of the status of other regulatory consents and permissions should be provided.</w:t>
      </w:r>
    </w:p>
    <w:p w14:paraId="1449F0AD" w14:textId="77777777" w:rsidR="00E6062D" w:rsidRPr="00AD30B5" w:rsidRDefault="00E6062D">
      <w:pPr>
        <w:keepNext/>
        <w:keepLines/>
        <w:spacing w:before="240" w:after="0"/>
        <w:mirrorIndents/>
        <w:jc w:val="both"/>
        <w:outlineLvl w:val="0"/>
        <w:pPrChange w:id="3" w:author="Verity Burrows (Oil &amp; Gas Authority)" w:date="2017-11-20T11:15:00Z">
          <w:pPr>
            <w:jc w:val="both"/>
          </w:pPr>
        </w:pPrChange>
      </w:pPr>
    </w:p>
    <w:p w14:paraId="73A2C695" w14:textId="77777777" w:rsidR="005F1410" w:rsidRDefault="00EC4D7C"/>
    <w:sectPr w:rsidR="005F1410">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6291" w14:textId="77777777" w:rsidR="003F1D29" w:rsidRDefault="00B65083">
      <w:pPr>
        <w:spacing w:after="0" w:line="240" w:lineRule="auto"/>
      </w:pPr>
      <w:r>
        <w:separator/>
      </w:r>
    </w:p>
  </w:endnote>
  <w:endnote w:type="continuationSeparator" w:id="0">
    <w:p w14:paraId="3BAE2D6D" w14:textId="77777777" w:rsidR="003F1D29" w:rsidRDefault="00B6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87208"/>
      <w:docPartObj>
        <w:docPartGallery w:val="Page Numbers (Bottom of Page)"/>
        <w:docPartUnique/>
      </w:docPartObj>
    </w:sdtPr>
    <w:sdtEndPr>
      <w:rPr>
        <w:noProof/>
      </w:rPr>
    </w:sdtEndPr>
    <w:sdtContent>
      <w:p w14:paraId="019FAC23" w14:textId="77777777" w:rsidR="000E7A7C" w:rsidRDefault="00B6508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59B79E1" w14:textId="77777777" w:rsidR="000E7A7C" w:rsidRDefault="00EC4D7C">
    <w:pPr>
      <w:pStyle w:val="Footer"/>
    </w:pPr>
  </w:p>
  <w:p w14:paraId="189F8B4D" w14:textId="77777777" w:rsidR="000E7A7C" w:rsidRDefault="00EC4D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39A4" w14:textId="77777777" w:rsidR="003F1D29" w:rsidRDefault="00B65083">
      <w:pPr>
        <w:spacing w:after="0" w:line="240" w:lineRule="auto"/>
      </w:pPr>
      <w:r>
        <w:separator/>
      </w:r>
    </w:p>
  </w:footnote>
  <w:footnote w:type="continuationSeparator" w:id="0">
    <w:p w14:paraId="7538472A" w14:textId="77777777" w:rsidR="003F1D29" w:rsidRDefault="00B65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777F" w14:textId="77777777" w:rsidR="000E7A7C" w:rsidRDefault="00EC4D7C">
    <w:pPr>
      <w:pStyle w:val="Header"/>
    </w:pPr>
  </w:p>
  <w:p w14:paraId="43FE1BA1" w14:textId="77777777" w:rsidR="000E7A7C" w:rsidRDefault="00EC4D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6D22" w14:textId="77777777" w:rsidR="000E7A7C" w:rsidRDefault="00EC4D7C">
    <w:pPr>
      <w:pStyle w:val="Header"/>
    </w:pPr>
  </w:p>
  <w:p w14:paraId="0F7778D6" w14:textId="77777777" w:rsidR="000E7A7C" w:rsidRDefault="00EC4D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5666" w14:textId="77777777" w:rsidR="000E7A7C" w:rsidRDefault="00EC4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0FD5"/>
    <w:multiLevelType w:val="multilevel"/>
    <w:tmpl w:val="B48255BC"/>
    <w:lvl w:ilvl="0">
      <w:start w:val="1"/>
      <w:numFmt w:val="decimal"/>
      <w:lvlText w:val="%1."/>
      <w:lvlJc w:val="left"/>
      <w:pPr>
        <w:ind w:left="720" w:hanging="360"/>
      </w:pPr>
      <w:rPr>
        <w:rFonts w:hint="default"/>
      </w:rPr>
    </w:lvl>
    <w:lvl w:ilvl="1">
      <w:start w:val="1"/>
      <w:numFmt w:val="decimal"/>
      <w:isLgl/>
      <w:lvlText w:val="%1.%2"/>
      <w:lvlJc w:val="left"/>
      <w:pPr>
        <w:ind w:left="821" w:hanging="39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067A2"/>
    <w:multiLevelType w:val="multilevel"/>
    <w:tmpl w:val="B49A1622"/>
    <w:lvl w:ilvl="0">
      <w:start w:val="1"/>
      <w:numFmt w:val="upperLetter"/>
      <w:lvlText w:val="%1."/>
      <w:lvlJc w:val="left"/>
      <w:pPr>
        <w:ind w:left="360" w:hanging="360"/>
      </w:pPr>
      <w:rPr>
        <w:rFonts w:hint="default"/>
        <w:b/>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72A2E76"/>
    <w:multiLevelType w:val="multilevel"/>
    <w:tmpl w:val="EA3A509A"/>
    <w:lvl w:ilvl="0">
      <w:start w:val="1"/>
      <w:numFmt w:val="decimal"/>
      <w:pStyle w:val="Heading1"/>
      <w:lvlText w:val="%1."/>
      <w:lvlJc w:val="left"/>
      <w:pPr>
        <w:ind w:left="360" w:hanging="360"/>
      </w:pPr>
      <w:rPr>
        <w:rFonts w:hint="default"/>
        <w:sz w:val="28"/>
      </w:rPr>
    </w:lvl>
    <w:lvl w:ilvl="1">
      <w:start w:val="1"/>
      <w:numFmt w:val="decimal"/>
      <w:isLgl/>
      <w:lvlText w:val="%1.%2"/>
      <w:lvlJc w:val="left"/>
      <w:pPr>
        <w:ind w:left="502"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69E75B7"/>
    <w:multiLevelType w:val="hybridMultilevel"/>
    <w:tmpl w:val="DD522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ity Burrows (Oil &amp; Gas Authority)">
    <w15:presenceInfo w15:providerId="AD" w15:userId="S-1-5-21-1628085271-1252006695-2964528498-3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2D"/>
    <w:rsid w:val="002349FA"/>
    <w:rsid w:val="003F1D29"/>
    <w:rsid w:val="00453196"/>
    <w:rsid w:val="009E284F"/>
    <w:rsid w:val="00B65083"/>
    <w:rsid w:val="00E6062D"/>
    <w:rsid w:val="00EC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B31E"/>
  <w15:chartTrackingRefBased/>
  <w15:docId w15:val="{AF2BD208-7567-4509-ACEB-3C22DDF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62D"/>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E6062D"/>
    <w:pPr>
      <w:keepNext/>
      <w:keepLines/>
      <w:numPr>
        <w:numId w:val="1"/>
      </w:numPr>
      <w:spacing w:before="24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E606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2D"/>
    <w:rPr>
      <w:rFonts w:ascii="Arial" w:eastAsiaTheme="majorEastAsia" w:hAnsi="Arial" w:cstheme="majorBidi"/>
      <w:b/>
      <w:bCs/>
      <w:sz w:val="28"/>
      <w:szCs w:val="28"/>
      <w:u w:val="single"/>
    </w:rPr>
  </w:style>
  <w:style w:type="paragraph" w:styleId="ListParagraph">
    <w:name w:val="List Paragraph"/>
    <w:basedOn w:val="Normal"/>
    <w:uiPriority w:val="34"/>
    <w:qFormat/>
    <w:rsid w:val="00E6062D"/>
    <w:pPr>
      <w:ind w:left="720"/>
      <w:contextualSpacing/>
    </w:pPr>
  </w:style>
  <w:style w:type="paragraph" w:styleId="Header">
    <w:name w:val="header"/>
    <w:basedOn w:val="Normal"/>
    <w:link w:val="HeaderChar"/>
    <w:unhideWhenUsed/>
    <w:rsid w:val="00E6062D"/>
    <w:pPr>
      <w:tabs>
        <w:tab w:val="center" w:pos="4513"/>
        <w:tab w:val="right" w:pos="9026"/>
      </w:tabs>
      <w:spacing w:after="0" w:line="240" w:lineRule="auto"/>
    </w:pPr>
  </w:style>
  <w:style w:type="character" w:customStyle="1" w:styleId="HeaderChar">
    <w:name w:val="Header Char"/>
    <w:basedOn w:val="DefaultParagraphFont"/>
    <w:link w:val="Header"/>
    <w:rsid w:val="00E6062D"/>
    <w:rPr>
      <w:rFonts w:ascii="Arial" w:hAnsi="Arial" w:cs="Arial"/>
      <w:sz w:val="24"/>
      <w:szCs w:val="24"/>
    </w:rPr>
  </w:style>
  <w:style w:type="paragraph" w:styleId="Footer">
    <w:name w:val="footer"/>
    <w:basedOn w:val="Normal"/>
    <w:link w:val="FooterChar"/>
    <w:unhideWhenUsed/>
    <w:rsid w:val="00E6062D"/>
    <w:pPr>
      <w:tabs>
        <w:tab w:val="center" w:pos="4513"/>
        <w:tab w:val="right" w:pos="9026"/>
      </w:tabs>
      <w:spacing w:after="0" w:line="240" w:lineRule="auto"/>
    </w:pPr>
  </w:style>
  <w:style w:type="character" w:customStyle="1" w:styleId="FooterChar">
    <w:name w:val="Footer Char"/>
    <w:basedOn w:val="DefaultParagraphFont"/>
    <w:link w:val="Footer"/>
    <w:rsid w:val="00E6062D"/>
    <w:rPr>
      <w:rFonts w:ascii="Arial" w:hAnsi="Arial" w:cs="Arial"/>
      <w:sz w:val="24"/>
      <w:szCs w:val="24"/>
    </w:rPr>
  </w:style>
  <w:style w:type="paragraph" w:customStyle="1" w:styleId="Style1">
    <w:name w:val="Style1"/>
    <w:basedOn w:val="Heading2"/>
    <w:link w:val="Style1Char"/>
    <w:autoRedefine/>
    <w:qFormat/>
    <w:rsid w:val="00E6062D"/>
    <w:pPr>
      <w:spacing w:before="200" w:after="100" w:afterAutospacing="1" w:line="360" w:lineRule="auto"/>
      <w:jc w:val="both"/>
    </w:pPr>
    <w:rPr>
      <w:rFonts w:ascii="Arial" w:hAnsi="Arial"/>
      <w:b/>
      <w:bCs/>
      <w:color w:val="00B0F0"/>
      <w:sz w:val="28"/>
    </w:rPr>
  </w:style>
  <w:style w:type="character" w:customStyle="1" w:styleId="Style1Char">
    <w:name w:val="Style1 Char"/>
    <w:basedOn w:val="DefaultParagraphFont"/>
    <w:link w:val="Style1"/>
    <w:rsid w:val="00E6062D"/>
    <w:rPr>
      <w:rFonts w:ascii="Arial" w:eastAsiaTheme="majorEastAsia" w:hAnsi="Arial" w:cstheme="majorBidi"/>
      <w:b/>
      <w:bCs/>
      <w:color w:val="00B0F0"/>
      <w:sz w:val="28"/>
      <w:szCs w:val="26"/>
    </w:rPr>
  </w:style>
  <w:style w:type="character" w:customStyle="1" w:styleId="Heading2Char">
    <w:name w:val="Heading 2 Char"/>
    <w:basedOn w:val="DefaultParagraphFont"/>
    <w:link w:val="Heading2"/>
    <w:uiPriority w:val="9"/>
    <w:semiHidden/>
    <w:rsid w:val="00E6062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60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Burrows (Oil &amp; Gas Authority)</dc:creator>
  <cp:keywords/>
  <dc:description/>
  <cp:lastModifiedBy>Ian Furneaux (Oil &amp; Gas Authority)</cp:lastModifiedBy>
  <cp:revision>2</cp:revision>
  <dcterms:created xsi:type="dcterms:W3CDTF">2021-03-18T14:37:00Z</dcterms:created>
  <dcterms:modified xsi:type="dcterms:W3CDTF">2021-03-18T14:37:00Z</dcterms:modified>
</cp:coreProperties>
</file>